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lang w:val="en-US" w:eastAsia="zh-CN"/>
        </w:rPr>
      </w:pPr>
      <w:r>
        <w:rPr>
          <w:rFonts w:hint="eastAsia" w:cs="宋体"/>
          <w:bCs/>
          <w:sz w:val="28"/>
          <w:szCs w:val="28"/>
        </w:rPr>
        <w:t>技术业务综合楼充电桩系统项目</w:t>
      </w:r>
      <w:r>
        <w:rPr>
          <w:rFonts w:hint="eastAsia" w:cs="宋体"/>
          <w:bCs/>
          <w:sz w:val="28"/>
          <w:szCs w:val="28"/>
          <w:lang w:val="en-US" w:eastAsia="zh-CN"/>
        </w:rPr>
        <w:t>预算</w:t>
      </w:r>
      <w:bookmarkStart w:id="1" w:name="_GoBack"/>
      <w:bookmarkEnd w:id="1"/>
    </w:p>
    <w:tbl>
      <w:tblPr>
        <w:tblStyle w:val="11"/>
        <w:tblW w:w="972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31"/>
        <w:gridCol w:w="1945"/>
        <w:gridCol w:w="686"/>
        <w:gridCol w:w="1214"/>
        <w:gridCol w:w="1223"/>
        <w:gridCol w:w="4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项号</w:t>
            </w:r>
          </w:p>
        </w:tc>
        <w:tc>
          <w:tcPr>
            <w:tcW w:w="1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货物名称</w:t>
            </w:r>
          </w:p>
        </w:tc>
        <w:tc>
          <w:tcPr>
            <w:tcW w:w="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数量</w:t>
            </w:r>
          </w:p>
        </w:tc>
        <w:tc>
          <w:tcPr>
            <w:tcW w:w="1214"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b/>
                <w:bCs/>
                <w:szCs w:val="21"/>
              </w:rPr>
            </w:pPr>
            <w:r>
              <w:rPr>
                <w:rFonts w:hint="eastAsia" w:ascii="宋体" w:hAnsi="宋体" w:cs="宋体"/>
                <w:b/>
                <w:bCs/>
                <w:szCs w:val="21"/>
              </w:rPr>
              <w:t>预算单价（元）</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预算总价</w:t>
            </w:r>
          </w:p>
        </w:tc>
        <w:tc>
          <w:tcPr>
            <w:tcW w:w="4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慢充汽车充电桩</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20台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2800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56000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8"/>
              <w:numPr>
                <w:ilvl w:val="0"/>
                <w:numId w:val="1"/>
              </w:numPr>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额定功率：7kW单枪，输入电压：AC220V±15%，通讯方式：4G，枪线长度：标配５ｍ，液晶屏幕：4.3英寸液晶触控屏。</w:t>
            </w:r>
          </w:p>
          <w:p>
            <w:pPr>
              <w:pStyle w:val="18"/>
              <w:numPr>
                <w:ilvl w:val="0"/>
                <w:numId w:val="1"/>
              </w:numPr>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充电方式：刷卡充电，扫码充电功能，定时充电，SOC智能充电，充电至阈值时，自动停止充电。</w:t>
            </w:r>
          </w:p>
          <w:p>
            <w:pPr>
              <w:pStyle w:val="18"/>
              <w:numPr>
                <w:ilvl w:val="0"/>
                <w:numId w:val="1"/>
              </w:numPr>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设备防护等级：IP55以上，具备防雷保护（D级）、过欠压、过载保护、短路保护、漏电保护。</w:t>
            </w:r>
          </w:p>
          <w:p>
            <w:pPr>
              <w:pStyle w:val="18"/>
              <w:numPr>
                <w:ilvl w:val="0"/>
                <w:numId w:val="1"/>
              </w:numPr>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cs="仿宋_GB2312" w:asciiTheme="minorEastAsia" w:hAnsiTheme="minorEastAsia" w:eastAsiaTheme="minorEastAsia"/>
                <w:kern w:val="2"/>
                <w:sz w:val="24"/>
                <w:szCs w:val="24"/>
              </w:rPr>
              <w:t>满足国标充电接口，适配所有符合 GB/T 20234.2-2015 国标的电动汽车，适应不同车型的不同功率</w:t>
            </w:r>
            <w:r>
              <w:rPr>
                <w:rFonts w:hint="eastAsia" w:cs="仿宋_GB2312" w:asciiTheme="minorEastAsia" w:hAnsiTheme="minorEastAsia" w:eastAsiaTheme="minorEastAsia"/>
                <w:kern w:val="2"/>
                <w:sz w:val="24"/>
                <w:szCs w:val="24"/>
              </w:rPr>
              <w:t>。</w:t>
            </w:r>
          </w:p>
          <w:p>
            <w:pPr>
              <w:pStyle w:val="18"/>
              <w:numPr>
                <w:ilvl w:val="0"/>
                <w:numId w:val="1"/>
              </w:numPr>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具备国家电动汽车充换电系统质量检验检验中心认证报告，具备CQC认证，</w:t>
            </w:r>
            <w:r>
              <w:rPr>
                <w:rFonts w:hint="eastAsia" w:cs="仿宋_GB2312" w:asciiTheme="minorEastAsia" w:hAnsiTheme="minorEastAsia" w:eastAsiaTheme="minorEastAsia"/>
                <w:sz w:val="24"/>
                <w:szCs w:val="24"/>
              </w:rPr>
              <w:t>具有在有效期内的产品责任保险证</w:t>
            </w:r>
            <w:r>
              <w:rPr>
                <w:rFonts w:cs="仿宋_GB2312" w:asciiTheme="minorEastAsia" w:hAnsiTheme="minorEastAsia" w:eastAsiaTheme="minorEastAsia"/>
                <w:kern w:val="2"/>
                <w:sz w:val="24"/>
                <w:szCs w:val="24"/>
              </w:rPr>
              <w:t>。</w:t>
            </w:r>
          </w:p>
          <w:p>
            <w:pPr>
              <w:pStyle w:val="18"/>
              <w:overflowPunct w:val="0"/>
              <w:spacing w:before="90" w:beforeLines="25" w:after="90" w:afterLines="25"/>
              <w:ind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6、配置应支持以太网和上级监控系统通信。或可根据实际项目需求，配4G的全网通通信模块方式进行组网。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快充汽车充电桩（一拖二）</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60000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60000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8"/>
              <w:numPr>
                <w:ilvl w:val="0"/>
                <w:numId w:val="2"/>
              </w:numPr>
              <w:overflowPunct w:val="0"/>
              <w:spacing w:before="90" w:beforeLines="25" w:after="90" w:afterLines="25"/>
              <w:ind w:left="0" w:leftChars="0" w:right="66"/>
              <w:jc w:val="left"/>
              <w:rPr>
                <w:rFonts w:cs="宋体" w:asciiTheme="minorEastAsia" w:hAnsiTheme="minorEastAsia" w:eastAsiaTheme="minorEastAsia"/>
                <w:color w:val="000000" w:themeColor="text1"/>
                <w:kern w:val="2"/>
                <w:sz w:val="24"/>
                <w:szCs w:val="24"/>
              </w:rPr>
            </w:pPr>
            <w:r>
              <w:rPr>
                <w:rFonts w:hint="eastAsia" w:cs="宋体" w:asciiTheme="minorEastAsia" w:hAnsiTheme="minorEastAsia" w:eastAsiaTheme="minorEastAsia"/>
                <w:kern w:val="2"/>
                <w:sz w:val="24"/>
                <w:szCs w:val="24"/>
              </w:rPr>
              <w:t>结构形式：120kW一体式一机双枪，交流输入电压：380V±20％，输出电压范围：DC 200-750V ，充电模块恒功率范围：DC 400-750V，配置输入交流接触器，</w:t>
            </w:r>
            <w:r>
              <w:rPr>
                <w:rFonts w:hint="eastAsia" w:cs="宋体" w:asciiTheme="minorEastAsia" w:hAnsiTheme="minorEastAsia" w:eastAsiaTheme="minorEastAsia"/>
                <w:color w:val="000000" w:themeColor="text1"/>
                <w:kern w:val="2"/>
                <w:sz w:val="24"/>
                <w:szCs w:val="24"/>
              </w:rPr>
              <w:t>单模块功率：120kW 单枪最大输出电流：250A；双模块功率：60kW； 双枪最大输出电流：125A。</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充电方式：刷卡充电，扫码充电功能，定时充电，SOC智能充电，充电至阈值时，自动停止充电。</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充电桩具有对每个充电接口输出电能进行计量的功能。充电机能够计算波峰平谷各个时段的电量，并可通过监控管理系统或者触摸屏分别设置各个时段的电价和服务费。</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在充电过程中，充电机依据电动汽车电池管理系统提供的数据动态调整充电参数，执行相应动作，完成充电过程。</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充电机的基本构成包括：动力电源输入、功率变换单元、输出开关单元、车辆插头、充电控制单元、控制电源、计量单元、人机交互界单元等。</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充电机配置7寸工业级彩色触摸屏，并配合结构进行内凹式设计（支持待机黑屏，插枪亮屏），可避免阳光直射用户无法看清屏幕内容的情况。</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充电机配置应支持以太网和上级监控系统通信。或可根据实际项目需求，配4G的全网通通信模块方式进行组网。</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充电机具备对车辆插头正、负极柱进行温度监控的功能。当极柱温度达到95℃时，降低输出功率；当极柱温度达到120 ℃时，停止充电并发出告警信号。</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充电机内置电能计量装置满足《GB/T 29318-2012 电动汽车非车载充电机电能计量》要求，并具备相应的第三方检定证书。</w:t>
            </w:r>
          </w:p>
          <w:p>
            <w:pPr>
              <w:pStyle w:val="18"/>
              <w:numPr>
                <w:ilvl w:val="0"/>
                <w:numId w:val="2"/>
              </w:numPr>
              <w:overflowPunct w:val="0"/>
              <w:spacing w:before="90" w:beforeLines="25" w:after="90" w:afterLines="25"/>
              <w:ind w:left="0" w:leftChars="0" w:right="66"/>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充电机噪声符合NB/T33001-2018相关要求，充电机外壳防护等级不低于GB/T 4208中规定户外IP54防护等级，</w:t>
            </w:r>
            <w:r>
              <w:rPr>
                <w:rFonts w:hint="eastAsia" w:cs="仿宋_GB2312" w:asciiTheme="minorEastAsia" w:hAnsiTheme="minorEastAsia" w:eastAsiaTheme="minorEastAsia"/>
                <w:sz w:val="24"/>
                <w:szCs w:val="24"/>
              </w:rPr>
              <w:t>具有在有效期内的产品责任保险证</w:t>
            </w:r>
            <w:r>
              <w:rPr>
                <w:rFonts w:hint="eastAsia" w:cs="仿宋_GB2312" w:asciiTheme="minorEastAsia" w:hAnsiTheme="minorEastAsia" w:eastAsiaTheme="minorEastAsia"/>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电动自行车智能充电插座</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150个</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450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67500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left"/>
              <w:rPr>
                <w:rFonts w:cs="宋体" w:asciiTheme="minorEastAsia" w:hAnsiTheme="minorEastAsia" w:eastAsiaTheme="minorEastAsia"/>
                <w:sz w:val="24"/>
              </w:rPr>
            </w:pPr>
            <w:r>
              <w:rPr>
                <w:rFonts w:hint="eastAsia" w:cs="仿宋_GB2312" w:asciiTheme="minorEastAsia" w:hAnsiTheme="minorEastAsia" w:eastAsiaTheme="minorEastAsia"/>
                <w:sz w:val="24"/>
              </w:rPr>
              <w:t>1、</w:t>
            </w:r>
            <w:r>
              <w:rPr>
                <w:rFonts w:hint="eastAsia" w:cs="宋体" w:asciiTheme="minorEastAsia" w:hAnsiTheme="minorEastAsia" w:eastAsiaTheme="minorEastAsia"/>
                <w:sz w:val="24"/>
              </w:rPr>
              <w:t>电动自行车智能充电插座</w:t>
            </w:r>
            <w:r>
              <w:rPr>
                <w:rFonts w:hint="eastAsia" w:cs="宋体" w:asciiTheme="minorEastAsia" w:hAnsiTheme="minorEastAsia" w:eastAsiaTheme="minorEastAsia"/>
                <w:color w:val="000000" w:themeColor="text1"/>
                <w:sz w:val="24"/>
              </w:rPr>
              <w:t>，支持路数：10路，输入/输出电压：AC220V，最大承载电流：不大于30A，单路最大电流：不大于3A，</w:t>
            </w:r>
            <w:r>
              <w:rPr>
                <w:rFonts w:hint="eastAsia" w:cs="宋体" w:asciiTheme="minorEastAsia" w:hAnsiTheme="minorEastAsia" w:eastAsiaTheme="minorEastAsia"/>
                <w:sz w:val="24"/>
              </w:rPr>
              <w:t>充电机配置4G全网通通信模块方式进行组网。</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2、充电方式：刷卡充电，扫码充电功能，费率可通过系统远程设置。</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3、每一路通过计量芯片单独计量，每一路通过互感器隔离采样回路电流，</w:t>
            </w:r>
            <w:r>
              <w:rPr>
                <w:rFonts w:hint="eastAsia" w:asciiTheme="minorEastAsia" w:hAnsiTheme="minorEastAsia" w:eastAsiaTheme="minorEastAsia"/>
                <w:sz w:val="24"/>
              </w:rPr>
              <w:t>充满自停。</w:t>
            </w:r>
          </w:p>
          <w:p>
            <w:pPr>
              <w:pStyle w:val="18"/>
              <w:overflowPunct w:val="0"/>
              <w:spacing w:before="90" w:beforeLines="25" w:after="90" w:afterLines="25"/>
              <w:ind w:left="0" w:leftChars="0" w:right="66"/>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功率识别：电瓶车智能充电桩具备检测大功率负载功能，可以设定功率报警值，达到报警值时会断开对应充电回路，防止用户私接插线板给多台电瓶车充电或大功率设备进行充电。充电桩在不充电及待机情况下，插座处于断电绝缘状态。</w:t>
            </w:r>
          </w:p>
          <w:p>
            <w:pPr>
              <w:pStyle w:val="18"/>
              <w:overflowPunct w:val="0"/>
              <w:spacing w:before="90" w:beforeLines="25" w:after="90" w:afterLines="25"/>
              <w:ind w:left="0" w:leftChars="0" w:right="66"/>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5、具有有效期内的产品责任保险证），</w:t>
            </w:r>
            <w:r>
              <w:rPr>
                <w:rFonts w:hint="eastAsia" w:asciiTheme="minorEastAsia" w:hAnsiTheme="minorEastAsia" w:eastAsiaTheme="minorEastAsia"/>
                <w:kern w:val="2"/>
                <w:sz w:val="24"/>
                <w:szCs w:val="24"/>
              </w:rPr>
              <w:t>具有SQICA001-2018认证报告</w:t>
            </w:r>
            <w:r>
              <w:rPr>
                <w:rFonts w:hint="eastAsia" w:cs="仿宋_GB2312"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低压电缆（ZC-YJV22-4*150+1*70）</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120米</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600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72000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1、规格和型号：</w:t>
            </w:r>
            <w:r>
              <w:rPr>
                <w:rFonts w:hint="eastAsia" w:cs="宋体" w:asciiTheme="minorEastAsia" w:hAnsiTheme="minorEastAsia" w:eastAsiaTheme="minorEastAsia"/>
                <w:sz w:val="24"/>
              </w:rPr>
              <w:t>ZC-YJV22-4*150+1*70</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2、工频额定UO/U为0.6/1KV。</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 短路时（最长持续时间不超过5s）电缆导体的最高温度不超过250℃。</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4、电缆弯曲半径：不小于电缆外径的15倍。</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仿宋_GB2312" w:asciiTheme="minorEastAsia" w:hAnsiTheme="minorEastAsia" w:eastAsiaTheme="minorEastAsia"/>
                <w:sz w:val="24"/>
              </w:rPr>
              <w:t>5、电缆设计符合国家标准《GB_12706.1-2008_第1部分：额定电压1kV(Um=1.2kV)到3kV(Um=3.6kV)电缆》和国际电工委员会推荐标准IEC60502的要求。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低压电缆（ZC-YJV22-4*70+1*35）</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150米</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290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43500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1、规格和型号：</w:t>
            </w:r>
            <w:r>
              <w:rPr>
                <w:rFonts w:hint="eastAsia" w:cs="宋体" w:asciiTheme="minorEastAsia" w:hAnsiTheme="minorEastAsia" w:eastAsiaTheme="minorEastAsia"/>
                <w:sz w:val="24"/>
              </w:rPr>
              <w:t>ZC-YJV22-4*70+1*35</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2、工频额定UO/U为0.6/1KV。</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 短路时（最长持续时间不超过5s）电缆导体的最高温度不超过250℃。</w:t>
            </w:r>
          </w:p>
          <w:p>
            <w:pPr>
              <w:pStyle w:val="17"/>
              <w:tabs>
                <w:tab w:val="left" w:pos="425"/>
              </w:tabs>
              <w:spacing w:line="320" w:lineRule="exact"/>
              <w:ind w:firstLine="0" w:firstLineChars="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4、电缆弯曲半径：不小于电缆外径的15倍。</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仿宋_GB2312" w:asciiTheme="minorEastAsia" w:hAnsiTheme="minorEastAsia" w:eastAsiaTheme="minorEastAsia"/>
                <w:sz w:val="24"/>
              </w:rPr>
              <w:t>5、电缆设计符合国家标准《GB_12706.1-2008_第1部分：额定电压1kV(Um=1.2kV)到3kV(Um=3.6kV)电缆》和国际电工委员会推荐标准IEC60502的要求。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低压电缆（ZC-YJV-3*6）</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400米</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color w:val="000000"/>
                <w:sz w:val="24"/>
              </w:rPr>
              <w:t>12000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numPr>
                <w:ilvl w:val="0"/>
                <w:numId w:val="3"/>
              </w:numPr>
              <w:tabs>
                <w:tab w:val="left" w:pos="425"/>
              </w:tabs>
              <w:spacing w:line="320" w:lineRule="exact"/>
              <w:ind w:firstLineChars="0"/>
              <w:jc w:val="left"/>
              <w:rPr>
                <w:rFonts w:cs="宋体" w:asciiTheme="minorEastAsia" w:hAnsiTheme="minorEastAsia" w:eastAsiaTheme="minorEastAsia"/>
                <w:sz w:val="24"/>
              </w:rPr>
            </w:pPr>
            <w:r>
              <w:rPr>
                <w:rFonts w:hint="eastAsia" w:cs="仿宋_GB2312" w:asciiTheme="minorEastAsia" w:hAnsiTheme="minorEastAsia" w:eastAsiaTheme="minorEastAsia"/>
                <w:sz w:val="24"/>
              </w:rPr>
              <w:t>规格和型号：</w:t>
            </w:r>
            <w:r>
              <w:rPr>
                <w:rFonts w:hint="eastAsia" w:cs="宋体" w:asciiTheme="minorEastAsia" w:hAnsiTheme="minorEastAsia" w:eastAsiaTheme="minorEastAsia"/>
                <w:sz w:val="24"/>
              </w:rPr>
              <w:t>ZC-YJV-3*6</w:t>
            </w:r>
          </w:p>
          <w:p>
            <w:pPr>
              <w:pStyle w:val="17"/>
              <w:numPr>
                <w:ilvl w:val="0"/>
                <w:numId w:val="3"/>
              </w:numPr>
              <w:tabs>
                <w:tab w:val="left" w:pos="425"/>
              </w:tabs>
              <w:spacing w:line="320" w:lineRule="exact"/>
              <w:ind w:firstLineChars="0"/>
              <w:jc w:val="left"/>
              <w:rPr>
                <w:rFonts w:cs="仿宋_GB2312" w:asciiTheme="minorEastAsia" w:hAnsiTheme="minorEastAsia" w:eastAsiaTheme="minorEastAsia"/>
                <w:sz w:val="24"/>
              </w:rPr>
            </w:pPr>
            <w:r>
              <w:rPr>
                <w:rFonts w:hint="eastAsia" w:cs="宋体" w:asciiTheme="minorEastAsia" w:hAnsiTheme="minorEastAsia" w:eastAsiaTheme="minorEastAsia"/>
                <w:sz w:val="24"/>
              </w:rPr>
              <w:t>材质：聚乙烯材质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户外低压不锈钢计量箱(充电桩专用)</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18500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18500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400" w:lineRule="exact"/>
              <w:ind w:firstLine="0" w:firstLineChars="0"/>
              <w:jc w:val="left"/>
              <w:rPr>
                <w:rFonts w:ascii="仿宋_GB2312" w:eastAsia="仿宋_GB2312"/>
                <w:sz w:val="24"/>
              </w:rPr>
            </w:pPr>
            <w:r>
              <w:rPr>
                <w:rFonts w:hint="eastAsia" w:cs="宋体" w:asciiTheme="minorEastAsia" w:hAnsiTheme="minorEastAsia" w:eastAsiaTheme="minorEastAsia"/>
                <w:sz w:val="24"/>
              </w:rPr>
              <w:t>1、户外低压不锈钢计量箱</w:t>
            </w:r>
            <w:r>
              <w:rPr>
                <w:rFonts w:hint="eastAsia" w:ascii="仿宋_GB2312" w:eastAsia="仿宋_GB2312"/>
                <w:sz w:val="24"/>
              </w:rPr>
              <w:t>必须是原厂配电柜（箱），不是授权配电柜（箱），制造厂商对本项目的专项授权书，制造厂商注册资金人民币1000万元（含）以上。</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2、箱内电器元件均选用具有CCC认证的产品。其中塑壳断路器、微型断路器、漏电开关、接触器、浪涌保护器、热继电器等需选用国内优质品牌的产品。</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3、进线主断路器额定电流: ≥400A，脱扣器类型：热磁， 共1台。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4、出线断路器额定电流：≥315A，脱扣器类型：热磁，共5台。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5、额定工作电压（V）：AC230。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6、额定频率（Hz）：50。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7、母线：三相五线制A、B、C；PE、N。</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8、箱体防护等级：IP43及以上，需安装防水雨蓬；</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9、配电箱门后侧，须粘贴塑封的设计电气系统图和二次回路图，所有开关须注明控制的回路图。</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10、配电箱需安装浪涌保护器及供电局配置的计量电表、计量互感器。</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11、配电箱的导线颜色严格按照国家规范相序规定装配，母线排相线编号贴色标，导线截面须与设计图纸进出线一致，铜母线的截面流量标准满足热稳定和动稳定的要求。</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12、 所有配电箱内塑壳断路器、微型断路器、漏电开关、接触器、热继电器等等主要元件必须选择相同的品牌，例如断路器和漏电开关不能选用不同的品牌。</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13、配电箱中各种开关电器的额定值和动作整定值应与其控制用电设备的额定值和特性相适应。</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14、壳体由1.5mm-3mm厚304不锈钢折弯后焊接而成。采用隐藏式铰链，门板由1.5mm-3mm厚板折弯后焊接而成，外门开启角度≥110°，内门开启角度≥90°。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15、进出线为下进下出，预留电缆孔，配胶条做为箱体附件。</w:t>
            </w:r>
          </w:p>
          <w:p>
            <w:pPr>
              <w:pStyle w:val="17"/>
              <w:tabs>
                <w:tab w:val="left" w:pos="425"/>
              </w:tabs>
              <w:spacing w:line="320" w:lineRule="exact"/>
              <w:ind w:firstLine="0" w:firstLineChars="0"/>
              <w:jc w:val="left"/>
              <w:rPr>
                <w:rFonts w:cs="宋体" w:asciiTheme="minorEastAsia" w:hAnsiTheme="minorEastAsia" w:eastAsiaTheme="minorEastAsia"/>
                <w:color w:val="FF0000"/>
                <w:sz w:val="24"/>
              </w:rPr>
            </w:pPr>
            <w:r>
              <w:rPr>
                <w:rFonts w:hint="eastAsia" w:cs="宋体" w:asciiTheme="minorEastAsia" w:hAnsiTheme="minorEastAsia" w:eastAsiaTheme="minorEastAsia"/>
                <w:sz w:val="24"/>
              </w:rPr>
              <w:t>16、双层门结构设计把带电部分隔开以防止触电，所有操作均作用于内门板开口露出部分，外门配钢化玻璃作观察窗和专用门锁，并安装有指示灯，方便安全检查设备运行状态。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户外不锈钢分配电箱（快充充电桩）</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400" w:lineRule="exact"/>
              <w:ind w:firstLine="0" w:firstLineChars="0"/>
              <w:jc w:val="left"/>
              <w:rPr>
                <w:rFonts w:ascii="仿宋_GB2312" w:eastAsia="仿宋_GB2312"/>
                <w:sz w:val="24"/>
              </w:rPr>
            </w:pPr>
            <w:r>
              <w:rPr>
                <w:rFonts w:hint="eastAsia" w:cs="宋体" w:asciiTheme="minorEastAsia" w:hAnsiTheme="minorEastAsia" w:eastAsiaTheme="minorEastAsia"/>
                <w:sz w:val="24"/>
              </w:rPr>
              <w:t>1、户外不锈钢分配电箱</w:t>
            </w:r>
            <w:r>
              <w:rPr>
                <w:rFonts w:hint="eastAsia" w:ascii="仿宋_GB2312" w:eastAsia="仿宋_GB2312"/>
                <w:sz w:val="24"/>
              </w:rPr>
              <w:t>必须是原厂配电柜（箱），不是授权配电柜（箱），制造厂商对本项目的专项授权书，制造厂商注册资金人民币1000万元（含）以上。</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2、箱内电器元件均选用具有CCC认证的产品。其中塑壳断路器、微型断路器、漏电开关、接触器、浪涌保护器、热继电器等需选用国内优质品牌的产品。</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3、进线主断路器额定电流: ≥315A，脱扣器类型：热磁， 共1台。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4、出线断路器额定电流：≥ 250A，脱扣器类型：热磁，共4台。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5、额定工作电压（V）：AC230。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6、额定频率（Hz）：50。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7、母线：三相五线制A、B、C；PE、N。</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8、箱体防护等级：IP43及以上，需安装防水雨蓬；</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9、配电箱门后侧，须粘贴塑封的设计电气系统图和二次回路图，所有开关须注明控制的回路图。</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10、配电箱需安装浪涌保护器。</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11、配电箱的导线颜色严格按照国家规范相序规定装配，母线排相线编号贴色标，导线截面须与设计图纸进出线一致，铜母线的截面流量标准满足热稳定和动稳定的要求。</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12、 所有配电箱内塑壳断路器、微型断路器、漏电开关、接触器、热继电器等等主要元件必须选择相同的品牌，例如断路器和漏电开关不能选用不同的品牌。</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13、配电箱中各种开关电器的额定值和动作整定值应与其控制用电设备的额定值和特性相适应。</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14、壳体由1.5mm-3mm厚304不锈钢折弯后焊接而成。采用隐藏式铰链，门板由1.5mm-3mm厚板折弯后焊接而成，外门开启角度≥110°，内门开启角度≥90°。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15、进出线为下进下出，预留电缆孔，配胶条做为箱体附件。</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16、双层门结构设计把带电部分隔开以防止触电，所有操作均作用于内门板开口露出部分，外门配钢化玻璃作观察窗和专用门锁，并安装有指示灯，方便安全检查设备运行状态。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户外不锈钢分配电箱（慢充充电桩）</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numPr>
                <w:ilvl w:val="0"/>
                <w:numId w:val="4"/>
              </w:numPr>
              <w:tabs>
                <w:tab w:val="left" w:pos="425"/>
              </w:tabs>
              <w:spacing w:line="400" w:lineRule="exact"/>
              <w:ind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户外不锈钢分配电箱</w:t>
            </w:r>
            <w:r>
              <w:rPr>
                <w:rFonts w:hint="eastAsia" w:ascii="仿宋_GB2312" w:eastAsia="仿宋_GB2312"/>
                <w:sz w:val="24"/>
              </w:rPr>
              <w:t>必须是原厂配电柜（箱），不是授权配电柜（箱），制造厂商对本项目的专项授权书，制造厂商注册资金人民币1000万元（含）以上。</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2、箱内电器元件均选用具有CCC认证的产品。其中塑壳断路器、微型断路器、漏电开关、接触器、浪涌保护器、热继电器等需选用国内优质品牌的产品。</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3、进线主断路器额定电流: ≥315A，脱扣器类型：热磁， 共1台。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4、出线断路器（2P）额定电流：≥63 A，带漏电保护功能，共22台。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5、额定工作电压（V）：AC230。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6、额定频率（Hz）：50。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7、母线：三相五线制A、B、C；PE、N。</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8、箱体防护等级：IP43及以上，需安装防水雨蓬；</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9、配电箱门后侧，须粘贴塑封的设计电气系统图和二次回路图，所有开关须注明控制的回路图。</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10、配电箱需安装浪涌保护器。</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11、配电箱的导线颜色严格按照国家规范相序规定装配，母线排相线编号贴色标，导线截面须与设计图纸进出线一致，铜母线的截面流量标准满足热稳定和动稳定的要求。</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12、 所有配电箱内塑壳断路器、微型断路器、漏电开关、接触器、热继电器等等主要元件必须选择相同的品牌，例如断路器和漏电开关不能选用不同的品牌。</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13、配电箱中各种开关电器的额定值和动作整定值应与其控制用电设备的额定值和特性相适应。</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14、壳体由1.5mm-3mm厚304不锈钢折弯后焊接而成。采用隐藏式铰链，门板由1.5mm-3mm厚板折弯后焊接而成，外门开启角度≥110°，内门开启角度≥90°。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15、进出线为下进下出，预留电缆孔，配胶条做为箱体附件。</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16、双层门结构设计把带电部分隔开以防止触电，所有操作均作用于内门板开口露出部分，外门配钢化玻璃作观察窗和专用门锁，并安装有指示灯，方便安全检查设备运行状态。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户外不锈钢分配电箱（电动自行车智能充电插座）</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2台</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30000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numPr>
                <w:ilvl w:val="0"/>
                <w:numId w:val="5"/>
              </w:numPr>
              <w:tabs>
                <w:tab w:val="left" w:pos="425"/>
              </w:tabs>
              <w:spacing w:line="400" w:lineRule="exact"/>
              <w:ind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户外不锈钢分配电箱</w:t>
            </w:r>
            <w:r>
              <w:rPr>
                <w:rFonts w:hint="eastAsia" w:ascii="仿宋_GB2312" w:eastAsia="仿宋_GB2312"/>
                <w:sz w:val="24"/>
              </w:rPr>
              <w:t>必须是原厂配电柜（箱），不是授权配电柜（箱），制造厂商对本项目的专项授权书，制造厂商注册资金人民币1000万元（含）以上。</w:t>
            </w:r>
          </w:p>
          <w:p>
            <w:pPr>
              <w:pStyle w:val="17"/>
              <w:numPr>
                <w:ilvl w:val="0"/>
                <w:numId w:val="5"/>
              </w:numPr>
              <w:tabs>
                <w:tab w:val="left" w:pos="425"/>
              </w:tabs>
              <w:spacing w:line="400" w:lineRule="exact"/>
              <w:ind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箱内电器元件均选用具有CCC认证的产品。其中塑壳断路器、微型断路器、漏电开关、接触器、浪涌保护器、热继电器等需选用国内优质品牌的产品。</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3、进线主断路器额定电流: ≥315A，脱扣器类型：热磁， 共1台。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4、出线断路器（2P）额定电流：≥63 A，带漏电保护功能，共18台。</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5、额定工作电压（V）：AC230。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6、额定频率（Hz）：50。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7、母线：三相五线制A、B、C；PE、N。</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8、箱体防护等级：IP43及以上，需安装防水雨蓬。</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9、配电箱门后侧，须粘贴塑封的设计电气系统图和二次回路图，所有开关须注明控制的回路图。</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10、配电箱需安装浪涌保护器。</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11、配电箱的导线颜色严格按照国家规范相序规定装配，母线排相线编号贴色标，导线截面须与设计图纸进出线一致，铜母线的截面流量标准满足热稳定和动稳定的要求。</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12、 所有配电箱内塑壳断路器、微型断路器、漏电开关、接触器、热继电器等等主要元件必须选择相同的品牌，例如断路器和漏电开关不能选用不同的品牌。</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13、配电箱中各种开关电器的额定值和动作整定值应与其控制用电设备的额定值和特性相适应。</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14、壳体由1.5mm-3mm厚304不锈钢折弯后焊接而成。采用隐藏式铰链，门板由1.5mm-3mm厚板折弯后焊接而成，外门开启角度≥110°，内门开启角度≥90°。</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15、进出线为下进下出，预留电缆孔，配胶条做为箱体附件。</w:t>
            </w:r>
          </w:p>
          <w:p>
            <w:pPr>
              <w:pStyle w:val="17"/>
              <w:tabs>
                <w:tab w:val="left" w:pos="425"/>
              </w:tabs>
              <w:spacing w:line="40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16、双层门结构设计把带电部分隔开以防止触电，所有操作均作用于内门板开口露出部分，外门配钢化玻璃作观察窗和专用门锁，并安装有指示灯，方便安全检查设备运行状态。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消防器材箱</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2000</w:t>
            </w:r>
          </w:p>
        </w:tc>
        <w:tc>
          <w:tcPr>
            <w:tcW w:w="412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挂墙式户外消防器材箱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户外光缆（8芯）</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120" w:firstLine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300米</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3000</w:t>
            </w:r>
          </w:p>
        </w:tc>
        <w:tc>
          <w:tcPr>
            <w:tcW w:w="41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室外铠装光缆</w:t>
            </w:r>
            <w:r>
              <w:rPr>
                <w:rFonts w:hint="eastAsia" w:asciiTheme="minorEastAsia" w:hAnsiTheme="minorEastAsia" w:eastAsiaTheme="minorEastAsia"/>
                <w:sz w:val="24"/>
                <w:szCs w:val="24"/>
              </w:rPr>
              <w:t>8</w:t>
            </w:r>
            <w:r>
              <w:rPr>
                <w:rFonts w:asciiTheme="minorEastAsia" w:hAnsiTheme="minorEastAsia" w:eastAsiaTheme="minorEastAsia"/>
                <w:sz w:val="24"/>
                <w:szCs w:val="24"/>
              </w:rPr>
              <w:t>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RVV护套电线（4芯）</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700米</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3500</w:t>
            </w:r>
          </w:p>
        </w:tc>
        <w:tc>
          <w:tcPr>
            <w:tcW w:w="41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国标4芯1.5平方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94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kern w:val="0"/>
                <w:sz w:val="24"/>
              </w:rPr>
            </w:pPr>
            <w:r>
              <w:rPr>
                <w:rFonts w:hint="eastAsia" w:asciiTheme="minorEastAsia" w:hAnsiTheme="minorEastAsia" w:eastAsiaTheme="minorEastAsia"/>
                <w:sz w:val="24"/>
              </w:rPr>
              <w:t>充电桩智能管理平台</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1套</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50000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50000</w:t>
            </w:r>
          </w:p>
        </w:tc>
        <w:tc>
          <w:tcPr>
            <w:tcW w:w="41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充电桩收费平台软件应包括WEB版监控软件、微信小程序、支付宝小程序，智能充电站必须是以平台化管理的大数据架构系统；系统内硬件逻辑架构可以分为站点、充电桩、回路三级，用户支持移动端远程查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2、平台支持多种充电方式：时间充电、电量充电、功率充电以及免费充电，电量充电支持电价和服务费分离，支持充电未用完余额支持自动原路返还。</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3、具备充电桩能耗报表、运营数据报表、商户收益报表及异常报表。</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4、平台可以实时监控每个充电桩的状态:充电桩数量、在线数量、离线数量、信号强度、空闲状态、故障的回路、位置、当前的充电单价、充电状态。</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5、可接入主流视频监控和电瓶车进电梯摄像头,统一管理站点监控；可接入限流式保护器、烟感以及电气火灾探测器，对站点进行安全监控。</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6、平台可实现卡管理，可对卡进行充值、冻结、解冻、解绑操作。</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7、支持变压器负荷监控、系统会实时监测变压器负荷，超负荷将不允许新增充电桩充电。</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8、对于告警信息，平台可支持短信、APP推送、邮件发送、微信小程序、微信公众号、语音外呼、钉钉等方式实时推送，可在后台形成相关统计汇总数据，备用户溯源查询；平台可选配语音自动拨打电话的功能；</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9、需提供数据接口或SDK，支持二次开发数据升级。</w:t>
            </w:r>
          </w:p>
          <w:p>
            <w:pP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10、充电桩智能管理平台厂家具备ISO14001、 ISO27001、ISO9001、OHSAS 18001认证证书，具有企业安全生产标准化三级企业证书，具有信息系统建设和服务能力评估CS2级以上（含）资质。</w:t>
            </w:r>
          </w:p>
          <w:p>
            <w:pPr>
              <w:rPr>
                <w:rFonts w:cs="宋体" w:asciiTheme="minorEastAsia" w:hAnsiTheme="minorEastAsia" w:eastAsiaTheme="minorEastAsia"/>
                <w:sz w:val="24"/>
                <w:szCs w:val="24"/>
              </w:rPr>
            </w:pPr>
            <w:r>
              <w:rPr>
                <w:rFonts w:hint="eastAsia" w:asciiTheme="minorEastAsia" w:hAnsiTheme="minorEastAsia" w:eastAsiaTheme="minorEastAsia"/>
                <w:sz w:val="24"/>
                <w:szCs w:val="24"/>
              </w:rPr>
              <w:t>11、能够与本台人员管理系统实现无缝对接。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辅材</w:t>
            </w: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1项</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5000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5000</w:t>
            </w:r>
          </w:p>
        </w:tc>
        <w:tc>
          <w:tcPr>
            <w:tcW w:w="412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施工中需要用的</w:t>
            </w:r>
            <w:r>
              <w:rPr>
                <w:rFonts w:hint="eastAsia" w:asciiTheme="minorEastAsia" w:hAnsiTheme="minorEastAsia" w:eastAsiaTheme="minorEastAsia"/>
                <w:color w:val="000000"/>
                <w:sz w:val="24"/>
                <w:szCs w:val="24"/>
              </w:rPr>
              <w:t>线槽、套管、铜耳、数据线等所有</w:t>
            </w:r>
            <w:r>
              <w:rPr>
                <w:rFonts w:hint="eastAsia" w:cs="宋体" w:asciiTheme="minorEastAsia" w:hAnsiTheme="minorEastAsia" w:eastAsiaTheme="minorEastAsia"/>
                <w:sz w:val="24"/>
                <w:szCs w:val="24"/>
              </w:rPr>
              <w:t>辅材。提供不锈钢消防灭火器放置箱（可放置两个常规灭火器）5个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8"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asciiTheme="minorEastAsia" w:hAnsiTheme="minorEastAsia" w:eastAsiaTheme="minorEastAsia"/>
                <w:sz w:val="24"/>
                <w:szCs w:val="24"/>
              </w:rPr>
            </w:pPr>
          </w:p>
          <w:p>
            <w:pPr>
              <w:spacing w:line="32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系统集成调试及税金</w:t>
            </w:r>
          </w:p>
          <w:p>
            <w:pPr>
              <w:spacing w:line="320" w:lineRule="exact"/>
              <w:jc w:val="center"/>
              <w:rPr>
                <w:rFonts w:cs="宋体" w:asciiTheme="minorEastAsia" w:hAnsiTheme="minorEastAsia" w:eastAsiaTheme="minorEastAsia"/>
                <w:sz w:val="24"/>
                <w:szCs w:val="24"/>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1项</w:t>
            </w:r>
          </w:p>
        </w:tc>
        <w:tc>
          <w:tcPr>
            <w:tcW w:w="1214"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109740</w:t>
            </w:r>
          </w:p>
        </w:tc>
        <w:tc>
          <w:tcPr>
            <w:tcW w:w="1223" w:type="dxa"/>
            <w:tcBorders>
              <w:top w:val="single" w:color="auto" w:sz="4" w:space="0"/>
              <w:left w:val="single" w:color="auto" w:sz="4" w:space="0"/>
              <w:bottom w:val="single" w:color="auto" w:sz="4" w:space="0"/>
              <w:right w:val="single" w:color="auto" w:sz="4" w:space="0"/>
            </w:tcBorders>
            <w:vAlign w:val="center"/>
          </w:tcPr>
          <w:p>
            <w:pPr>
              <w:pStyle w:val="17"/>
              <w:tabs>
                <w:tab w:val="left" w:pos="425"/>
              </w:tabs>
              <w:spacing w:line="320" w:lineRule="exact"/>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109740</w:t>
            </w:r>
          </w:p>
        </w:tc>
        <w:tc>
          <w:tcPr>
            <w:tcW w:w="412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asciiTheme="minorEastAsia" w:hAnsiTheme="minorEastAsia" w:eastAsiaTheme="minorEastAsia"/>
                <w:sz w:val="24"/>
                <w:szCs w:val="24"/>
              </w:rPr>
              <w:t>本项目为交钥匙工程，其中涉及到的土建施工、线缆预埋敷设及设备安装等均由中标方方免费负责施工实施完成。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24" w:type="dxa"/>
            <w:gridSpan w:val="6"/>
          </w:tcPr>
          <w:p>
            <w:pPr>
              <w:rPr>
                <w:rFonts w:ascii="仿宋_GB2312" w:eastAsia="仿宋_GB2312"/>
                <w:sz w:val="24"/>
              </w:rPr>
            </w:pPr>
            <w:r>
              <w:rPr>
                <w:rFonts w:hint="eastAsia" w:ascii="仿宋_GB2312" w:eastAsia="仿宋_GB2312"/>
                <w:sz w:val="24"/>
              </w:rPr>
              <w:t>一、签定合同日期：自中标公告发出之日起3个工作日内</w:t>
            </w:r>
          </w:p>
          <w:p>
            <w:pPr>
              <w:rPr>
                <w:rFonts w:ascii="仿宋_GB2312" w:eastAsia="仿宋_GB2312"/>
                <w:sz w:val="24"/>
              </w:rPr>
            </w:pPr>
            <w:r>
              <w:rPr>
                <w:rFonts w:hint="eastAsia" w:ascii="仿宋_GB2312" w:eastAsia="仿宋_GB2312"/>
                <w:sz w:val="24"/>
              </w:rPr>
              <w:t>二、交货期：自签订合同之日起60个日历天内安装调试完毕并通过初步验收</w:t>
            </w:r>
          </w:p>
          <w:p>
            <w:pPr>
              <w:rPr>
                <w:rFonts w:ascii="仿宋_GB2312" w:eastAsia="仿宋_GB2312"/>
                <w:sz w:val="24"/>
              </w:rPr>
            </w:pPr>
            <w:r>
              <w:rPr>
                <w:rFonts w:hint="eastAsia" w:ascii="仿宋_GB2312" w:eastAsia="仿宋_GB2312"/>
                <w:sz w:val="24"/>
              </w:rPr>
              <w:t>三、交货地点：广西南宁市（用户指定地点）</w:t>
            </w:r>
          </w:p>
          <w:p>
            <w:pPr>
              <w:rPr>
                <w:rFonts w:ascii="仿宋_GB2312" w:eastAsia="仿宋_GB2312"/>
                <w:sz w:val="24"/>
              </w:rPr>
            </w:pPr>
            <w:r>
              <w:rPr>
                <w:rFonts w:hint="eastAsia" w:ascii="仿宋_GB2312" w:eastAsia="仿宋_GB2312"/>
                <w:sz w:val="24"/>
              </w:rPr>
              <w:t>四、交货与施工方式：现场交货，现场施工</w:t>
            </w:r>
          </w:p>
          <w:p>
            <w:pPr>
              <w:rPr>
                <w:rFonts w:ascii="仿宋_GB2312" w:eastAsia="仿宋_GB2312"/>
                <w:sz w:val="24"/>
              </w:rPr>
            </w:pPr>
            <w:r>
              <w:rPr>
                <w:rFonts w:hint="eastAsia" w:ascii="仿宋_GB2312" w:eastAsia="仿宋_GB2312"/>
                <w:sz w:val="24"/>
              </w:rPr>
              <w:t>五、投标人资质要求：</w:t>
            </w:r>
          </w:p>
          <w:p>
            <w:pPr>
              <w:rPr>
                <w:rFonts w:ascii="仿宋_GB2312" w:eastAsia="仿宋_GB2312"/>
                <w:sz w:val="24"/>
              </w:rPr>
            </w:pPr>
            <w:r>
              <w:rPr>
                <w:rFonts w:hint="eastAsia" w:ascii="仿宋_GB2312" w:eastAsia="仿宋_GB2312"/>
                <w:sz w:val="24"/>
              </w:rPr>
              <w:t>1、投标人必须是经工商、税务登记注册，并符合投标项目经营范围，能独立承担民事责任的法人组织；</w:t>
            </w:r>
          </w:p>
          <w:p>
            <w:pPr>
              <w:rPr>
                <w:rFonts w:ascii="仿宋_GB2312" w:eastAsia="仿宋_GB2312"/>
                <w:sz w:val="24"/>
              </w:rPr>
            </w:pPr>
            <w:r>
              <w:rPr>
                <w:rFonts w:hint="eastAsia" w:ascii="仿宋_GB2312" w:eastAsia="仿宋_GB2312"/>
                <w:sz w:val="24"/>
              </w:rPr>
              <w:t>2、国家电力监管委员会颁发的承装（修、试）电力设施五级及以上资质；</w:t>
            </w:r>
          </w:p>
          <w:p>
            <w:pPr>
              <w:rPr>
                <w:rFonts w:ascii="仿宋_GB2312" w:eastAsia="仿宋_GB2312"/>
                <w:sz w:val="24"/>
              </w:rPr>
            </w:pPr>
            <w:r>
              <w:rPr>
                <w:rFonts w:hint="eastAsia" w:ascii="仿宋_GB2312" w:eastAsia="仿宋_GB2312"/>
                <w:sz w:val="24"/>
              </w:rPr>
              <w:t>六、售后服务要求：</w:t>
            </w:r>
          </w:p>
          <w:p>
            <w:pPr>
              <w:rPr>
                <w:rFonts w:ascii="仿宋_GB2312" w:eastAsia="仿宋_GB2312"/>
                <w:sz w:val="24"/>
              </w:rPr>
            </w:pPr>
            <w:r>
              <w:rPr>
                <w:rFonts w:hint="eastAsia" w:ascii="仿宋_GB2312" w:eastAsia="仿宋_GB2312"/>
                <w:sz w:val="24"/>
              </w:rPr>
              <w:t>1、质保期：2年（自项目初步验收合格之日起计）；</w:t>
            </w:r>
          </w:p>
          <w:p>
            <w:pPr>
              <w:rPr>
                <w:rFonts w:ascii="仿宋_GB2312" w:eastAsia="仿宋_GB2312"/>
                <w:sz w:val="24"/>
              </w:rPr>
            </w:pPr>
            <w:r>
              <w:rPr>
                <w:rFonts w:hint="eastAsia" w:ascii="仿宋_GB2312" w:eastAsia="仿宋_GB2312"/>
                <w:sz w:val="24"/>
              </w:rPr>
              <w:t>2、对于故障处理，要求中标人在质保期内提供24小时免费维护服务，要求接到故障通知后4小时内到现场解决故障。</w:t>
            </w:r>
          </w:p>
          <w:p>
            <w:pPr>
              <w:rPr>
                <w:rFonts w:ascii="仿宋_GB2312" w:eastAsia="仿宋_GB2312"/>
                <w:color w:val="000000"/>
                <w:sz w:val="24"/>
                <w:szCs w:val="24"/>
              </w:rPr>
            </w:pPr>
            <w:r>
              <w:rPr>
                <w:rFonts w:hint="eastAsia" w:ascii="仿宋_GB2312" w:eastAsia="仿宋_GB2312"/>
                <w:color w:val="000000"/>
                <w:sz w:val="24"/>
                <w:szCs w:val="24"/>
              </w:rPr>
              <w:t>3、在质保期内的工作应包括对所有设备系统常规检查、调整等。质保期内，投标方每三个月对系统进行一次总体检查，每半年对系统进行一次复查，并提交相应的检查报告。</w:t>
            </w:r>
          </w:p>
          <w:p>
            <w:pPr>
              <w:rPr>
                <w:rFonts w:ascii="仿宋_GB2312" w:eastAsia="仿宋_GB2312"/>
                <w:color w:val="000000"/>
                <w:sz w:val="24"/>
                <w:szCs w:val="24"/>
              </w:rPr>
            </w:pPr>
            <w:r>
              <w:rPr>
                <w:rFonts w:hint="eastAsia" w:ascii="仿宋_GB2312" w:eastAsia="仿宋_GB2312"/>
                <w:color w:val="000000"/>
                <w:sz w:val="24"/>
                <w:szCs w:val="24"/>
              </w:rPr>
              <w:t>4、在质保期届满，投标方需对设备进行一次整体检查，并提交相应的检查报告，任何故障须由投标方自费解决并取得甲方的最终认可。</w:t>
            </w:r>
          </w:p>
          <w:p>
            <w:pPr>
              <w:rPr>
                <w:rFonts w:ascii="仿宋_GB2312" w:eastAsia="仿宋_GB2312"/>
                <w:color w:val="000000"/>
                <w:sz w:val="24"/>
                <w:szCs w:val="24"/>
              </w:rPr>
            </w:pPr>
            <w:r>
              <w:rPr>
                <w:rFonts w:hint="eastAsia" w:ascii="仿宋_GB2312" w:eastAsia="仿宋_GB2312"/>
                <w:color w:val="000000"/>
                <w:sz w:val="24"/>
                <w:szCs w:val="24"/>
              </w:rPr>
              <w:t>七、项目总体要求：</w:t>
            </w:r>
          </w:p>
          <w:p>
            <w:pPr>
              <w:ind w:firstLine="480" w:firstLineChars="200"/>
              <w:rPr>
                <w:rFonts w:ascii="仿宋_GB2312" w:eastAsia="仿宋_GB2312"/>
                <w:color w:val="000000"/>
                <w:sz w:val="24"/>
                <w:szCs w:val="24"/>
              </w:rPr>
            </w:pPr>
            <w:r>
              <w:rPr>
                <w:rFonts w:hint="eastAsia" w:ascii="仿宋_GB2312" w:eastAsia="仿宋_GB2312"/>
                <w:color w:val="000000"/>
                <w:sz w:val="24"/>
                <w:szCs w:val="24"/>
              </w:rPr>
              <w:t>根据技术业务综合楼规划建设要求，推进绿色环保节能，满足广大员工新能源电动汽车和电动自行车的充电要求，利用目前台内现有的场地面积大小，尽量多安装电动汽车和电动自行车充电桩满足全台员工日常充电需求，在技术业务综合楼东面（靠近幼师围墙）规划22个电动汽车充电车位，车位的尺寸是（长*宽）：5.5m*3m，安装20个7kW的慢充汽车充电桩，1个120kW的快充汽车充电桩（一桩两枪模式）可提供两个停车位的快充服务，同时规划150个电动自行车充电位，尺寸是（长*宽）：4m*1m，共安装150个充电插座，其中在第一食堂仓库旁边规划 100个和在报告厅和频率楼后面规划50个电动自行车充电位。可通过充电桩智能管理平台分别对汽车充电桩和电动车充电插座的日常运行状态、充电过程进行实时监控，并能实现充电支付对接，支持刷卡或者微信支付方式，保证支付交易过程的完整性，对充电过程中的异常情况进行有效预警，并可实现充电收费的清算及对账功能。同时按照消防要求，安装四个消防器材箱，并安装配套的充电桩供电基础设施，在停车场相应位置安装1个户外低压不锈钢充电桩专用计量箱和4个户外不锈钢充电桩专用分配电箱。</w:t>
            </w:r>
          </w:p>
          <w:p>
            <w:pPr>
              <w:rPr>
                <w:rFonts w:ascii="仿宋_GB2312" w:eastAsia="仿宋_GB2312"/>
                <w:color w:val="FF0000"/>
                <w:sz w:val="24"/>
              </w:rPr>
            </w:pPr>
            <w:r>
              <w:rPr>
                <w:rFonts w:hint="eastAsia" w:ascii="仿宋_GB2312" w:eastAsia="仿宋_GB2312"/>
                <w:color w:val="000000"/>
                <w:sz w:val="24"/>
                <w:szCs w:val="24"/>
              </w:rPr>
              <w:t>八、付款方式：合同签订后10个日历日内采购人向中标人支付60%的合同货款。货物送达安装地点并安装验收合格后，中标人以转账或现金的方式支付给采购人货物质量保证金，质量保证金数额为中标总金额的5%。采购人在收到中标人的质量保证金和中标人开具的全额财务国税增值税专用发票后，向中标人支付其余40%货款。货物在质保期内若无质量问题，质保期满后由中标人提出申请，采购人10个工作日内退回质量保证金。（质量保证金不计利息）</w:t>
            </w:r>
          </w:p>
        </w:tc>
      </w:tr>
    </w:tbl>
    <w:p>
      <w:pPr>
        <w:spacing w:line="220" w:lineRule="atLeast"/>
      </w:pPr>
    </w:p>
    <w:p>
      <w:pPr>
        <w:pStyle w:val="7"/>
        <w:wordWrap w:val="0"/>
        <w:snapToGrid w:val="0"/>
        <w:spacing w:before="120" w:after="120"/>
        <w:jc w:val="center"/>
        <w:outlineLvl w:val="0"/>
        <w:rPr>
          <w:rFonts w:hAnsi="宋体"/>
          <w:b/>
          <w:sz w:val="32"/>
          <w:szCs w:val="32"/>
        </w:rPr>
      </w:pPr>
      <w:bookmarkStart w:id="0" w:name="_Toc3283345"/>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p>
      <w:pPr>
        <w:pStyle w:val="7"/>
        <w:wordWrap w:val="0"/>
        <w:snapToGrid w:val="0"/>
        <w:spacing w:before="120" w:after="120"/>
        <w:jc w:val="center"/>
        <w:outlineLvl w:val="0"/>
        <w:rPr>
          <w:rFonts w:hAnsi="宋体"/>
          <w:b/>
          <w:sz w:val="32"/>
          <w:szCs w:val="32"/>
        </w:rPr>
      </w:pPr>
    </w:p>
    <w:bookmarkEnd w:id="0"/>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63CF8"/>
    <w:multiLevelType w:val="multilevel"/>
    <w:tmpl w:val="24063C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915258"/>
    <w:multiLevelType w:val="multilevel"/>
    <w:tmpl w:val="389152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29A5B1"/>
    <w:multiLevelType w:val="multilevel"/>
    <w:tmpl w:val="5129A5B1"/>
    <w:lvl w:ilvl="0" w:tentative="0">
      <w:start w:val="1"/>
      <w:numFmt w:val="decimal"/>
      <w:suff w:val="nothing"/>
      <w:lvlText w:val="%1、"/>
      <w:lvlJc w:val="left"/>
      <w:pPr>
        <w:ind w:left="1417"/>
      </w:pPr>
    </w:lvl>
    <w:lvl w:ilvl="1" w:tentative="0">
      <w:start w:val="1"/>
      <w:numFmt w:val="lowerLetter"/>
      <w:lvlText w:val="%2)"/>
      <w:lvlJc w:val="left"/>
      <w:pPr>
        <w:ind w:left="2352" w:hanging="420"/>
      </w:pPr>
    </w:lvl>
    <w:lvl w:ilvl="2" w:tentative="0">
      <w:start w:val="1"/>
      <w:numFmt w:val="lowerRoman"/>
      <w:lvlText w:val="%3."/>
      <w:lvlJc w:val="right"/>
      <w:pPr>
        <w:ind w:left="2772" w:hanging="420"/>
      </w:pPr>
    </w:lvl>
    <w:lvl w:ilvl="3" w:tentative="0">
      <w:start w:val="1"/>
      <w:numFmt w:val="decimal"/>
      <w:lvlText w:val="%4."/>
      <w:lvlJc w:val="left"/>
      <w:pPr>
        <w:ind w:left="3192" w:hanging="420"/>
      </w:pPr>
    </w:lvl>
    <w:lvl w:ilvl="4" w:tentative="0">
      <w:start w:val="1"/>
      <w:numFmt w:val="lowerLetter"/>
      <w:lvlText w:val="%5)"/>
      <w:lvlJc w:val="left"/>
      <w:pPr>
        <w:ind w:left="3612" w:hanging="420"/>
      </w:pPr>
    </w:lvl>
    <w:lvl w:ilvl="5" w:tentative="0">
      <w:start w:val="1"/>
      <w:numFmt w:val="lowerRoman"/>
      <w:lvlText w:val="%6."/>
      <w:lvlJc w:val="right"/>
      <w:pPr>
        <w:ind w:left="4032" w:hanging="420"/>
      </w:pPr>
    </w:lvl>
    <w:lvl w:ilvl="6" w:tentative="0">
      <w:start w:val="1"/>
      <w:numFmt w:val="decimal"/>
      <w:lvlText w:val="%7."/>
      <w:lvlJc w:val="left"/>
      <w:pPr>
        <w:ind w:left="4452" w:hanging="420"/>
      </w:pPr>
    </w:lvl>
    <w:lvl w:ilvl="7" w:tentative="0">
      <w:start w:val="1"/>
      <w:numFmt w:val="lowerLetter"/>
      <w:lvlText w:val="%8)"/>
      <w:lvlJc w:val="left"/>
      <w:pPr>
        <w:ind w:left="4872" w:hanging="420"/>
      </w:pPr>
    </w:lvl>
    <w:lvl w:ilvl="8" w:tentative="0">
      <w:start w:val="1"/>
      <w:numFmt w:val="lowerRoman"/>
      <w:lvlText w:val="%9."/>
      <w:lvlJc w:val="right"/>
      <w:pPr>
        <w:ind w:left="5292" w:hanging="420"/>
      </w:pPr>
    </w:lvl>
  </w:abstractNum>
  <w:abstractNum w:abstractNumId="3">
    <w:nsid w:val="7AC406F0"/>
    <w:multiLevelType w:val="multilevel"/>
    <w:tmpl w:val="7AC406F0"/>
    <w:lvl w:ilvl="0" w:tentative="0">
      <w:start w:val="1"/>
      <w:numFmt w:val="decimal"/>
      <w:lvlText w:val="%1、"/>
      <w:lvlJc w:val="left"/>
      <w:pPr>
        <w:ind w:left="360" w:hanging="360"/>
      </w:pPr>
      <w:rPr>
        <w:rFonts w:hint="default" w:hAnsi="仿宋_GB2312" w:cs="仿宋_GB2312"/>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0D0B3C"/>
    <w:multiLevelType w:val="singleLevel"/>
    <w:tmpl w:val="7B0D0B3C"/>
    <w:lvl w:ilvl="0" w:tentative="0">
      <w:start w:val="1"/>
      <w:numFmt w:val="decimal"/>
      <w:suff w:val="nothing"/>
      <w:lvlText w:val="%1、"/>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2ZhNjU4NjU5MzgyMjllZjI1Njg4YzNlMzAwN2ExNGUifQ=="/>
  </w:docVars>
  <w:rsids>
    <w:rsidRoot w:val="00D31D50"/>
    <w:rsid w:val="00010F12"/>
    <w:rsid w:val="0002590A"/>
    <w:rsid w:val="0005623A"/>
    <w:rsid w:val="00070C69"/>
    <w:rsid w:val="00080FE7"/>
    <w:rsid w:val="00082AC1"/>
    <w:rsid w:val="000913E1"/>
    <w:rsid w:val="000B062C"/>
    <w:rsid w:val="000D6752"/>
    <w:rsid w:val="000E5E48"/>
    <w:rsid w:val="000F2B26"/>
    <w:rsid w:val="00103F42"/>
    <w:rsid w:val="00110F13"/>
    <w:rsid w:val="00117154"/>
    <w:rsid w:val="00124B5F"/>
    <w:rsid w:val="0016102D"/>
    <w:rsid w:val="001764D4"/>
    <w:rsid w:val="00190024"/>
    <w:rsid w:val="001A0618"/>
    <w:rsid w:val="001A5AB1"/>
    <w:rsid w:val="001A5D0C"/>
    <w:rsid w:val="001B2162"/>
    <w:rsid w:val="001E4324"/>
    <w:rsid w:val="001E587A"/>
    <w:rsid w:val="001E5964"/>
    <w:rsid w:val="001E6543"/>
    <w:rsid w:val="001F408C"/>
    <w:rsid w:val="001F5D5B"/>
    <w:rsid w:val="002179B6"/>
    <w:rsid w:val="00220808"/>
    <w:rsid w:val="002325C0"/>
    <w:rsid w:val="0024025A"/>
    <w:rsid w:val="00251D0D"/>
    <w:rsid w:val="0026639E"/>
    <w:rsid w:val="00273CC3"/>
    <w:rsid w:val="002B4D8B"/>
    <w:rsid w:val="002D6088"/>
    <w:rsid w:val="002F2D81"/>
    <w:rsid w:val="00307473"/>
    <w:rsid w:val="003152F8"/>
    <w:rsid w:val="00321F97"/>
    <w:rsid w:val="00323B43"/>
    <w:rsid w:val="00356E7D"/>
    <w:rsid w:val="00384C4C"/>
    <w:rsid w:val="003D37D8"/>
    <w:rsid w:val="003E438F"/>
    <w:rsid w:val="0040424A"/>
    <w:rsid w:val="00417CD5"/>
    <w:rsid w:val="00417ED6"/>
    <w:rsid w:val="00426133"/>
    <w:rsid w:val="00426800"/>
    <w:rsid w:val="00431D53"/>
    <w:rsid w:val="004358AB"/>
    <w:rsid w:val="00444ADA"/>
    <w:rsid w:val="00445105"/>
    <w:rsid w:val="0044650E"/>
    <w:rsid w:val="00480A86"/>
    <w:rsid w:val="004A2CD1"/>
    <w:rsid w:val="004B30A7"/>
    <w:rsid w:val="004B6930"/>
    <w:rsid w:val="004B6CFD"/>
    <w:rsid w:val="004C4C6B"/>
    <w:rsid w:val="004E240B"/>
    <w:rsid w:val="004E5B7C"/>
    <w:rsid w:val="0050349C"/>
    <w:rsid w:val="0052034A"/>
    <w:rsid w:val="00520FE0"/>
    <w:rsid w:val="005236DD"/>
    <w:rsid w:val="005254B4"/>
    <w:rsid w:val="0055257F"/>
    <w:rsid w:val="00566666"/>
    <w:rsid w:val="00566B21"/>
    <w:rsid w:val="00571019"/>
    <w:rsid w:val="00574189"/>
    <w:rsid w:val="005802F1"/>
    <w:rsid w:val="005805CA"/>
    <w:rsid w:val="00581C2E"/>
    <w:rsid w:val="00587F04"/>
    <w:rsid w:val="005A70DD"/>
    <w:rsid w:val="005B005D"/>
    <w:rsid w:val="005C58B6"/>
    <w:rsid w:val="005D5836"/>
    <w:rsid w:val="005F5812"/>
    <w:rsid w:val="006000DF"/>
    <w:rsid w:val="00603B33"/>
    <w:rsid w:val="00603BEB"/>
    <w:rsid w:val="0064408C"/>
    <w:rsid w:val="00660125"/>
    <w:rsid w:val="00661E85"/>
    <w:rsid w:val="00687B04"/>
    <w:rsid w:val="00694FCB"/>
    <w:rsid w:val="006B0B3D"/>
    <w:rsid w:val="006E27A8"/>
    <w:rsid w:val="006E3645"/>
    <w:rsid w:val="006E3C4F"/>
    <w:rsid w:val="006F13EA"/>
    <w:rsid w:val="006F7921"/>
    <w:rsid w:val="00705555"/>
    <w:rsid w:val="00765AD4"/>
    <w:rsid w:val="00766D49"/>
    <w:rsid w:val="00786946"/>
    <w:rsid w:val="007B6CD8"/>
    <w:rsid w:val="007B73C4"/>
    <w:rsid w:val="00803B6E"/>
    <w:rsid w:val="00804E83"/>
    <w:rsid w:val="00806CEB"/>
    <w:rsid w:val="00810306"/>
    <w:rsid w:val="00811E29"/>
    <w:rsid w:val="00814B59"/>
    <w:rsid w:val="008154EA"/>
    <w:rsid w:val="008172B0"/>
    <w:rsid w:val="00833EC6"/>
    <w:rsid w:val="00835D65"/>
    <w:rsid w:val="00840731"/>
    <w:rsid w:val="00863105"/>
    <w:rsid w:val="008A3BDC"/>
    <w:rsid w:val="008A7B0F"/>
    <w:rsid w:val="008B146E"/>
    <w:rsid w:val="008B7514"/>
    <w:rsid w:val="008B7726"/>
    <w:rsid w:val="008C5D79"/>
    <w:rsid w:val="008C6FBA"/>
    <w:rsid w:val="008D177C"/>
    <w:rsid w:val="009142C1"/>
    <w:rsid w:val="00923F5D"/>
    <w:rsid w:val="00932623"/>
    <w:rsid w:val="009461CE"/>
    <w:rsid w:val="00971CA2"/>
    <w:rsid w:val="009C7AB7"/>
    <w:rsid w:val="009E17A9"/>
    <w:rsid w:val="009E706C"/>
    <w:rsid w:val="009E7116"/>
    <w:rsid w:val="009F299D"/>
    <w:rsid w:val="009F3357"/>
    <w:rsid w:val="009F69F6"/>
    <w:rsid w:val="009F79A2"/>
    <w:rsid w:val="00A17828"/>
    <w:rsid w:val="00A21224"/>
    <w:rsid w:val="00A30BB5"/>
    <w:rsid w:val="00A35361"/>
    <w:rsid w:val="00A37FAF"/>
    <w:rsid w:val="00A71D23"/>
    <w:rsid w:val="00A87548"/>
    <w:rsid w:val="00A911C7"/>
    <w:rsid w:val="00AC19D8"/>
    <w:rsid w:val="00AC2E72"/>
    <w:rsid w:val="00AD5949"/>
    <w:rsid w:val="00AD6A05"/>
    <w:rsid w:val="00AE457B"/>
    <w:rsid w:val="00AE69E7"/>
    <w:rsid w:val="00AF06E4"/>
    <w:rsid w:val="00B20F30"/>
    <w:rsid w:val="00B22FD3"/>
    <w:rsid w:val="00B273EE"/>
    <w:rsid w:val="00B33D89"/>
    <w:rsid w:val="00B52A6A"/>
    <w:rsid w:val="00B7015F"/>
    <w:rsid w:val="00BA07A5"/>
    <w:rsid w:val="00BD4F20"/>
    <w:rsid w:val="00C1021F"/>
    <w:rsid w:val="00C13C8A"/>
    <w:rsid w:val="00C42D48"/>
    <w:rsid w:val="00C46EE5"/>
    <w:rsid w:val="00C50F3E"/>
    <w:rsid w:val="00C67F49"/>
    <w:rsid w:val="00C75F03"/>
    <w:rsid w:val="00CA7620"/>
    <w:rsid w:val="00CC30CD"/>
    <w:rsid w:val="00CD210F"/>
    <w:rsid w:val="00CD2D77"/>
    <w:rsid w:val="00CF2B8B"/>
    <w:rsid w:val="00D043CC"/>
    <w:rsid w:val="00D071B5"/>
    <w:rsid w:val="00D204CA"/>
    <w:rsid w:val="00D27EEB"/>
    <w:rsid w:val="00D31D50"/>
    <w:rsid w:val="00D36690"/>
    <w:rsid w:val="00D36886"/>
    <w:rsid w:val="00D43596"/>
    <w:rsid w:val="00D576D7"/>
    <w:rsid w:val="00D77C53"/>
    <w:rsid w:val="00D81BAA"/>
    <w:rsid w:val="00D97749"/>
    <w:rsid w:val="00DB69F3"/>
    <w:rsid w:val="00DC7501"/>
    <w:rsid w:val="00DD5BDC"/>
    <w:rsid w:val="00DE2A56"/>
    <w:rsid w:val="00E132E4"/>
    <w:rsid w:val="00E252F2"/>
    <w:rsid w:val="00E42144"/>
    <w:rsid w:val="00E44597"/>
    <w:rsid w:val="00E5017E"/>
    <w:rsid w:val="00E66AC1"/>
    <w:rsid w:val="00E86076"/>
    <w:rsid w:val="00E8727F"/>
    <w:rsid w:val="00EA4193"/>
    <w:rsid w:val="00EA7656"/>
    <w:rsid w:val="00EB04BF"/>
    <w:rsid w:val="00EC4046"/>
    <w:rsid w:val="00ED3033"/>
    <w:rsid w:val="00EE387D"/>
    <w:rsid w:val="00EE551B"/>
    <w:rsid w:val="00EF26D0"/>
    <w:rsid w:val="00F0374E"/>
    <w:rsid w:val="00F04C2E"/>
    <w:rsid w:val="00F25660"/>
    <w:rsid w:val="00F3296C"/>
    <w:rsid w:val="00F35D48"/>
    <w:rsid w:val="00F471C8"/>
    <w:rsid w:val="00F658D8"/>
    <w:rsid w:val="00F66BD6"/>
    <w:rsid w:val="00F8424D"/>
    <w:rsid w:val="00F90905"/>
    <w:rsid w:val="00FA1161"/>
    <w:rsid w:val="00FA610A"/>
    <w:rsid w:val="00FB77E2"/>
    <w:rsid w:val="00FD6F45"/>
    <w:rsid w:val="00FE4357"/>
    <w:rsid w:val="00FF754D"/>
    <w:rsid w:val="03676684"/>
    <w:rsid w:val="04A30B65"/>
    <w:rsid w:val="088E7C5C"/>
    <w:rsid w:val="0EC62F8A"/>
    <w:rsid w:val="126A4382"/>
    <w:rsid w:val="14B6313F"/>
    <w:rsid w:val="14D70889"/>
    <w:rsid w:val="17710C68"/>
    <w:rsid w:val="1C16002F"/>
    <w:rsid w:val="1C2C33AF"/>
    <w:rsid w:val="1C5009B2"/>
    <w:rsid w:val="1D406272"/>
    <w:rsid w:val="1F082CE5"/>
    <w:rsid w:val="1F365DEF"/>
    <w:rsid w:val="21C25618"/>
    <w:rsid w:val="27663F30"/>
    <w:rsid w:val="27FF7BCA"/>
    <w:rsid w:val="29591440"/>
    <w:rsid w:val="29A54BF3"/>
    <w:rsid w:val="2DF63478"/>
    <w:rsid w:val="34EC3BCC"/>
    <w:rsid w:val="3BD668FE"/>
    <w:rsid w:val="3D385C00"/>
    <w:rsid w:val="40E63BC5"/>
    <w:rsid w:val="41EA1493"/>
    <w:rsid w:val="43B63348"/>
    <w:rsid w:val="446460A9"/>
    <w:rsid w:val="44E56559"/>
    <w:rsid w:val="496A7729"/>
    <w:rsid w:val="4A811F8A"/>
    <w:rsid w:val="4B3F0159"/>
    <w:rsid w:val="512E144B"/>
    <w:rsid w:val="51CC5E14"/>
    <w:rsid w:val="59036C6A"/>
    <w:rsid w:val="59813E3D"/>
    <w:rsid w:val="5E7D1C3C"/>
    <w:rsid w:val="662E0E60"/>
    <w:rsid w:val="6702461F"/>
    <w:rsid w:val="78313033"/>
    <w:rsid w:val="79341E92"/>
    <w:rsid w:val="7AE6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6"/>
    <w:basedOn w:val="1"/>
    <w:next w:val="1"/>
    <w:link w:val="21"/>
    <w:qFormat/>
    <w:uiPriority w:val="0"/>
    <w:pPr>
      <w:keepNext/>
      <w:keepLines/>
      <w:widowControl w:val="0"/>
      <w:snapToGrid/>
      <w:spacing w:before="240" w:after="64" w:line="319" w:lineRule="auto"/>
      <w:jc w:val="both"/>
      <w:textAlignment w:val="baseline"/>
      <w:outlineLvl w:val="5"/>
    </w:pPr>
    <w:rPr>
      <w:rFonts w:ascii="Arial" w:hAnsi="Arial" w:eastAsia="黑体" w:cs="Times New Roman"/>
      <w:b/>
      <w:w w:val="90"/>
      <w:sz w:val="28"/>
      <w:szCs w:val="20"/>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24"/>
    <w:semiHidden/>
    <w:unhideWhenUsed/>
    <w:uiPriority w:val="99"/>
    <w:pPr>
      <w:spacing w:after="120"/>
    </w:pPr>
  </w:style>
  <w:style w:type="paragraph" w:styleId="5">
    <w:name w:val="Body Text Indent"/>
    <w:basedOn w:val="1"/>
    <w:next w:val="6"/>
    <w:qFormat/>
    <w:uiPriority w:val="0"/>
    <w:pPr>
      <w:spacing w:line="360" w:lineRule="auto"/>
      <w:ind w:firstLine="425"/>
    </w:pPr>
  </w:style>
  <w:style w:type="paragraph" w:styleId="6">
    <w:name w:val="envelope return"/>
    <w:basedOn w:val="1"/>
    <w:qFormat/>
    <w:uiPriority w:val="0"/>
    <w:rPr>
      <w:rFonts w:ascii="Arial" w:hAnsi="Arial"/>
    </w:rPr>
  </w:style>
  <w:style w:type="paragraph" w:styleId="7">
    <w:name w:val="Plain Text"/>
    <w:basedOn w:val="1"/>
    <w:link w:val="22"/>
    <w:qFormat/>
    <w:uiPriority w:val="99"/>
    <w:pPr>
      <w:widowControl w:val="0"/>
      <w:adjustRightInd/>
      <w:snapToGrid/>
      <w:spacing w:after="0"/>
      <w:jc w:val="both"/>
    </w:pPr>
    <w:rPr>
      <w:rFonts w:ascii="宋体" w:hAnsi="Courier New" w:eastAsia="宋体" w:cs="Courier New"/>
      <w:kern w:val="2"/>
      <w:sz w:val="21"/>
      <w:szCs w:val="21"/>
    </w:rPr>
  </w:style>
  <w:style w:type="paragraph" w:styleId="8">
    <w:name w:val="footer"/>
    <w:basedOn w:val="1"/>
    <w:link w:val="16"/>
    <w:semiHidden/>
    <w:unhideWhenUsed/>
    <w:qFormat/>
    <w:uiPriority w:val="99"/>
    <w:pPr>
      <w:tabs>
        <w:tab w:val="center" w:pos="4153"/>
        <w:tab w:val="right" w:pos="8306"/>
      </w:tabs>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10">
    <w:name w:val="Body Text First Indent"/>
    <w:basedOn w:val="4"/>
    <w:link w:val="23"/>
    <w:qFormat/>
    <w:uiPriority w:val="0"/>
    <w:pPr>
      <w:widowControl w:val="0"/>
      <w:adjustRightInd/>
      <w:snapToGrid/>
      <w:ind w:firstLine="420" w:firstLineChars="100"/>
      <w:jc w:val="both"/>
    </w:pPr>
    <w:rPr>
      <w:rFonts w:asciiTheme="minorHAnsi" w:hAnsiTheme="minorHAnsi"/>
      <w:kern w:val="2"/>
      <w:sz w:val="21"/>
      <w:szCs w:val="24"/>
    </w:rPr>
  </w:style>
  <w:style w:type="character" w:styleId="13">
    <w:name w:val="Strong"/>
    <w:qFormat/>
    <w:uiPriority w:val="22"/>
    <w:rPr>
      <w:b/>
      <w:bCs/>
    </w:rPr>
  </w:style>
  <w:style w:type="character" w:styleId="14">
    <w:name w:val="Hyperlink"/>
    <w:qFormat/>
    <w:uiPriority w:val="0"/>
    <w:rPr>
      <w:color w:val="0000FF"/>
      <w:u w:val="single"/>
    </w:rPr>
  </w:style>
  <w:style w:type="character" w:customStyle="1" w:styleId="15">
    <w:name w:val="页眉 Char"/>
    <w:basedOn w:val="12"/>
    <w:link w:val="9"/>
    <w:semiHidden/>
    <w:qFormat/>
    <w:uiPriority w:val="99"/>
    <w:rPr>
      <w:rFonts w:ascii="Tahoma" w:hAnsi="Tahoma"/>
      <w:sz w:val="18"/>
      <w:szCs w:val="18"/>
    </w:rPr>
  </w:style>
  <w:style w:type="character" w:customStyle="1" w:styleId="16">
    <w:name w:val="页脚 Char"/>
    <w:basedOn w:val="12"/>
    <w:link w:val="8"/>
    <w:semiHidden/>
    <w:qFormat/>
    <w:uiPriority w:val="99"/>
    <w:rPr>
      <w:rFonts w:ascii="Tahoma" w:hAnsi="Tahoma"/>
      <w:sz w:val="18"/>
      <w:szCs w:val="18"/>
    </w:rPr>
  </w:style>
  <w:style w:type="paragraph" w:customStyle="1" w:styleId="17">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18">
    <w:name w:val="表格内字体字号"/>
    <w:basedOn w:val="1"/>
    <w:qFormat/>
    <w:uiPriority w:val="0"/>
    <w:pPr>
      <w:topLinePunct/>
      <w:spacing w:beforeLines="20" w:afterLines="20"/>
      <w:ind w:left="30" w:leftChars="30" w:right="30" w:rightChars="30"/>
      <w:jc w:val="center"/>
    </w:pPr>
    <w:rPr>
      <w:sz w:val="18"/>
      <w:szCs w:val="18"/>
    </w:rPr>
  </w:style>
  <w:style w:type="paragraph" w:customStyle="1" w:styleId="19">
    <w:name w:val="段"/>
    <w:qFormat/>
    <w:uiPriority w:val="99"/>
    <w:pPr>
      <w:ind w:firstLine="200" w:firstLineChars="200"/>
      <w:jc w:val="both"/>
    </w:pPr>
    <w:rPr>
      <w:rFonts w:ascii="宋体" w:hAnsi="Times New Roman" w:eastAsia="宋体" w:cs="Times New Roman"/>
      <w:sz w:val="21"/>
      <w:lang w:val="en-US" w:eastAsia="zh-CN" w:bidi="ar-SA"/>
    </w:rPr>
  </w:style>
  <w:style w:type="paragraph" w:styleId="20">
    <w:name w:val="List Paragraph"/>
    <w:basedOn w:val="1"/>
    <w:qFormat/>
    <w:uiPriority w:val="34"/>
    <w:pPr>
      <w:ind w:firstLine="420" w:firstLineChars="200"/>
    </w:pPr>
  </w:style>
  <w:style w:type="character" w:customStyle="1" w:styleId="21">
    <w:name w:val="标题 6 Char"/>
    <w:basedOn w:val="12"/>
    <w:link w:val="2"/>
    <w:qFormat/>
    <w:uiPriority w:val="0"/>
    <w:rPr>
      <w:rFonts w:ascii="Arial" w:hAnsi="Arial" w:eastAsia="黑体" w:cs="Times New Roman"/>
      <w:b/>
      <w:w w:val="90"/>
      <w:sz w:val="28"/>
    </w:rPr>
  </w:style>
  <w:style w:type="character" w:customStyle="1" w:styleId="22">
    <w:name w:val="纯文本 Char"/>
    <w:link w:val="7"/>
    <w:qFormat/>
    <w:uiPriority w:val="99"/>
    <w:rPr>
      <w:rFonts w:ascii="宋体" w:hAnsi="Courier New" w:eastAsia="宋体" w:cs="Courier New"/>
      <w:kern w:val="2"/>
      <w:sz w:val="21"/>
      <w:szCs w:val="21"/>
    </w:rPr>
  </w:style>
  <w:style w:type="character" w:customStyle="1" w:styleId="23">
    <w:name w:val="正文首行缩进 Char"/>
    <w:link w:val="10"/>
    <w:qFormat/>
    <w:uiPriority w:val="0"/>
    <w:rPr>
      <w:kern w:val="2"/>
      <w:sz w:val="21"/>
      <w:szCs w:val="24"/>
    </w:rPr>
  </w:style>
  <w:style w:type="character" w:customStyle="1" w:styleId="24">
    <w:name w:val="正文文本 Char"/>
    <w:basedOn w:val="12"/>
    <w:link w:val="4"/>
    <w:semiHidden/>
    <w:uiPriority w:val="99"/>
    <w:rPr>
      <w:rFonts w:ascii="Tahoma" w:hAnsi="Tahoma"/>
      <w:sz w:val="22"/>
      <w:szCs w:val="22"/>
    </w:rPr>
  </w:style>
  <w:style w:type="character" w:customStyle="1" w:styleId="25">
    <w:name w:val="正文首行缩进 Char1"/>
    <w:basedOn w:val="24"/>
    <w:semiHidden/>
    <w:uiPriority w:val="99"/>
    <w:rPr>
      <w:rFonts w:ascii="Tahoma" w:hAnsi="Tahoma"/>
      <w:sz w:val="22"/>
      <w:szCs w:val="22"/>
    </w:rPr>
  </w:style>
  <w:style w:type="paragraph" w:customStyle="1" w:styleId="26">
    <w:name w:val="纯文本1"/>
    <w:basedOn w:val="1"/>
    <w:qFormat/>
    <w:uiPriority w:val="0"/>
    <w:pPr>
      <w:widowControl w:val="0"/>
      <w:suppressAutoHyphens/>
      <w:adjustRightInd/>
      <w:snapToGrid/>
      <w:spacing w:after="0"/>
      <w:jc w:val="both"/>
    </w:pPr>
    <w:rPr>
      <w:rFonts w:ascii="宋体" w:hAnsi="宋体" w:eastAsia="宋体" w:cs="Calibri"/>
      <w:kern w:val="1"/>
      <w:sz w:val="20"/>
      <w:szCs w:val="21"/>
      <w:lang w:eastAsia="ar-SA"/>
    </w:rPr>
  </w:style>
  <w:style w:type="character" w:customStyle="1" w:styleId="27">
    <w:name w:val="纯文本 Char1"/>
    <w:basedOn w:val="12"/>
    <w:semiHidden/>
    <w:uiPriority w:val="99"/>
    <w:rPr>
      <w:rFonts w:ascii="宋体" w:hAnsi="Courier New" w:eastAsia="宋体" w:cs="Courier New"/>
      <w:sz w:val="21"/>
      <w:szCs w:val="21"/>
    </w:rPr>
  </w:style>
  <w:style w:type="character" w:customStyle="1" w:styleId="28">
    <w:name w:val="纯文本 Char4"/>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2C7048-1B3C-425A-8E4C-E462D6C1723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6163</Words>
  <Characters>6905</Characters>
  <Lines>51</Lines>
  <Paragraphs>14</Paragraphs>
  <TotalTime>257</TotalTime>
  <ScaleCrop>false</ScaleCrop>
  <LinksUpToDate>false</LinksUpToDate>
  <CharactersWithSpaces>6937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becly</cp:lastModifiedBy>
  <dcterms:modified xsi:type="dcterms:W3CDTF">2022-05-20T01:56:42Z</dcterms:modified>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348806E071F44671A633B087638BEE89</vt:lpwstr>
  </property>
</Properties>
</file>